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5E1" w:rsidRPr="00454992" w:rsidRDefault="00454992" w:rsidP="00454992">
      <w:pPr>
        <w:pStyle w:val="a7"/>
        <w:shd w:val="clear" w:color="auto" w:fill="FFFFFF"/>
        <w:spacing w:before="0" w:beforeAutospacing="0" w:after="0" w:afterAutospacing="0" w:line="504" w:lineRule="atLeast"/>
        <w:jc w:val="both"/>
        <w:rPr>
          <w:b/>
          <w:color w:val="000000" w:themeColor="text1"/>
        </w:rPr>
      </w:pPr>
      <w:r w:rsidRPr="00454992">
        <w:rPr>
          <w:rFonts w:hint="eastAsia"/>
          <w:b/>
          <w:color w:val="000000" w:themeColor="text1"/>
        </w:rPr>
        <w:t>附件：招标要求</w:t>
      </w:r>
    </w:p>
    <w:p w:rsidR="004A4FCA" w:rsidRPr="00454992" w:rsidRDefault="004A4FCA" w:rsidP="00454992">
      <w:pPr>
        <w:pStyle w:val="a7"/>
        <w:shd w:val="clear" w:color="auto" w:fill="FFFFFF"/>
        <w:spacing w:before="0" w:beforeAutospacing="0" w:after="0" w:afterAutospacing="0" w:line="504" w:lineRule="atLeast"/>
        <w:jc w:val="both"/>
        <w:rPr>
          <w:color w:val="000000" w:themeColor="text1"/>
        </w:rPr>
      </w:pPr>
      <w:r w:rsidRPr="00454992">
        <w:rPr>
          <w:rFonts w:hint="eastAsia"/>
          <w:color w:val="000000" w:themeColor="text1"/>
        </w:rPr>
        <w:t>一、基本情况：</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1.</w:t>
      </w:r>
      <w:r w:rsidR="002535E1" w:rsidRPr="00454992">
        <w:rPr>
          <w:rFonts w:hint="eastAsia"/>
          <w:color w:val="000000" w:themeColor="text1"/>
        </w:rPr>
        <w:t>项目名称</w:t>
      </w:r>
      <w:r w:rsidRPr="00454992">
        <w:rPr>
          <w:rFonts w:hint="eastAsia"/>
          <w:color w:val="000000" w:themeColor="text1"/>
        </w:rPr>
        <w:t>：《动物营养与饲养学》</w:t>
      </w:r>
      <w:r w:rsidR="00000683" w:rsidRPr="00454992">
        <w:rPr>
          <w:rFonts w:hint="eastAsia"/>
          <w:color w:val="000000" w:themeColor="text1"/>
        </w:rPr>
        <w:t>MOOC技术服务项目</w:t>
      </w:r>
    </w:p>
    <w:p w:rsidR="00CB4B2E" w:rsidRPr="00454992" w:rsidRDefault="00000683" w:rsidP="004A4FCA">
      <w:pPr>
        <w:pStyle w:val="a7"/>
        <w:shd w:val="clear" w:color="auto" w:fill="FFFFFF"/>
        <w:spacing w:before="0" w:beforeAutospacing="0" w:after="0" w:afterAutospacing="0" w:line="504" w:lineRule="atLeast"/>
        <w:ind w:firstLine="480"/>
        <w:jc w:val="both"/>
        <w:rPr>
          <w:color w:val="000000" w:themeColor="text1"/>
        </w:rPr>
      </w:pPr>
      <w:r w:rsidRPr="00454992">
        <w:rPr>
          <w:color w:val="000000" w:themeColor="text1"/>
        </w:rPr>
        <w:t>2</w:t>
      </w:r>
      <w:r w:rsidR="00CB4B2E" w:rsidRPr="00454992">
        <w:rPr>
          <w:color w:val="000000" w:themeColor="text1"/>
        </w:rPr>
        <w:t>.</w:t>
      </w:r>
      <w:r w:rsidR="00CB4B2E" w:rsidRPr="00454992">
        <w:rPr>
          <w:rFonts w:hint="eastAsia"/>
          <w:color w:val="000000" w:themeColor="text1"/>
        </w:rPr>
        <w:t>项目预算金额：</w:t>
      </w:r>
      <w:r w:rsidRPr="00454992">
        <w:rPr>
          <w:color w:val="000000" w:themeColor="text1"/>
        </w:rPr>
        <w:t>9</w:t>
      </w:r>
      <w:r w:rsidR="00CB4B2E" w:rsidRPr="00454992">
        <w:rPr>
          <w:rFonts w:hint="eastAsia"/>
          <w:color w:val="000000" w:themeColor="text1"/>
        </w:rPr>
        <w:t>万元</w:t>
      </w:r>
    </w:p>
    <w:p w:rsidR="004A4FCA" w:rsidRPr="00454992" w:rsidRDefault="00000683" w:rsidP="00454992">
      <w:pPr>
        <w:pStyle w:val="a7"/>
        <w:shd w:val="clear" w:color="auto" w:fill="FFFFFF"/>
        <w:spacing w:before="0" w:beforeAutospacing="0" w:after="0" w:afterAutospacing="0" w:line="504" w:lineRule="atLeast"/>
        <w:jc w:val="both"/>
        <w:rPr>
          <w:color w:val="000000" w:themeColor="text1"/>
        </w:rPr>
      </w:pPr>
      <w:r w:rsidRPr="00454992">
        <w:rPr>
          <w:rFonts w:hint="eastAsia"/>
          <w:color w:val="000000" w:themeColor="text1"/>
        </w:rPr>
        <w:t>二</w:t>
      </w:r>
      <w:r w:rsidR="004A4FCA" w:rsidRPr="00454992">
        <w:rPr>
          <w:rFonts w:hint="eastAsia"/>
          <w:color w:val="000000" w:themeColor="text1"/>
        </w:rPr>
        <w:t>、视屏录制要求：</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1.完成《动物营养与饲养学》的慕课录制，服务商需承诺录制在线开放课程在教学设计、技术参数、资源配置等方面达到</w:t>
      </w:r>
      <w:r w:rsidR="00225ED5" w:rsidRPr="00454992">
        <w:rPr>
          <w:rFonts w:hint="eastAsia"/>
          <w:color w:val="000000" w:themeColor="text1"/>
        </w:rPr>
        <w:t>教育部</w:t>
      </w:r>
      <w:r w:rsidR="00CB4B2E" w:rsidRPr="00454992">
        <w:rPr>
          <w:rFonts w:hint="eastAsia"/>
          <w:color w:val="000000" w:themeColor="text1"/>
        </w:rPr>
        <w:t>研究生在线示范课程的</w:t>
      </w:r>
      <w:r w:rsidRPr="00454992">
        <w:rPr>
          <w:rFonts w:hint="eastAsia"/>
          <w:color w:val="000000" w:themeColor="text1"/>
        </w:rPr>
        <w:t>认定标准，</w:t>
      </w:r>
      <w:r w:rsidR="0089612A" w:rsidRPr="00454992">
        <w:rPr>
          <w:rFonts w:hint="eastAsia"/>
          <w:color w:val="000000" w:themeColor="text1"/>
        </w:rPr>
        <w:t>具有</w:t>
      </w:r>
      <w:r w:rsidR="00F4657A" w:rsidRPr="00454992">
        <w:rPr>
          <w:rFonts w:hint="eastAsia"/>
          <w:color w:val="000000" w:themeColor="text1"/>
        </w:rPr>
        <w:t>丰富的</w:t>
      </w:r>
      <w:r w:rsidR="0089612A" w:rsidRPr="00454992">
        <w:rPr>
          <w:rFonts w:hint="eastAsia"/>
          <w:color w:val="000000" w:themeColor="text1"/>
        </w:rPr>
        <w:t>在线开放课程运行经验，</w:t>
      </w:r>
      <w:r w:rsidR="00F4657A" w:rsidRPr="00454992">
        <w:rPr>
          <w:rFonts w:hint="eastAsia"/>
          <w:color w:val="000000" w:themeColor="text1"/>
        </w:rPr>
        <w:t>有自主研发的国家级在线开放课程平台，也</w:t>
      </w:r>
      <w:r w:rsidRPr="00454992">
        <w:rPr>
          <w:rFonts w:hint="eastAsia"/>
          <w:color w:val="000000" w:themeColor="text1"/>
        </w:rPr>
        <w:t>能够在</w:t>
      </w:r>
      <w:r w:rsidR="00F4657A" w:rsidRPr="00454992">
        <w:rPr>
          <w:rFonts w:hint="eastAsia"/>
          <w:color w:val="000000" w:themeColor="text1"/>
        </w:rPr>
        <w:t>校方</w:t>
      </w:r>
      <w:r w:rsidRPr="00454992">
        <w:rPr>
          <w:rFonts w:hint="eastAsia"/>
          <w:color w:val="000000" w:themeColor="text1"/>
        </w:rPr>
        <w:t>指定MOOC平台认证上线，满足学校网络综合教学平台的视频要求。项目录制地点需在陕西杨凌西北农林科技大学指定地点。</w:t>
      </w:r>
    </w:p>
    <w:p w:rsidR="004A4FCA" w:rsidRPr="00454992" w:rsidRDefault="004A4FCA" w:rsidP="00F4657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2.分辨率不低于</w:t>
      </w:r>
      <w:r w:rsidR="00F4657A" w:rsidRPr="00454992">
        <w:rPr>
          <w:color w:val="000000" w:themeColor="text1"/>
        </w:rPr>
        <w:t>1920*1080</w:t>
      </w:r>
      <w:r w:rsidRPr="00454992">
        <w:rPr>
          <w:rFonts w:hint="eastAsia"/>
          <w:color w:val="000000" w:themeColor="text1"/>
        </w:rPr>
        <w:t>；</w:t>
      </w:r>
      <w:r w:rsidR="00F4657A" w:rsidRPr="00454992">
        <w:rPr>
          <w:rFonts w:hint="eastAsia"/>
          <w:color w:val="000000" w:themeColor="text1"/>
        </w:rPr>
        <w:t>视频帧率不低于2</w:t>
      </w:r>
      <w:r w:rsidR="00F4657A" w:rsidRPr="00454992">
        <w:rPr>
          <w:color w:val="000000" w:themeColor="text1"/>
        </w:rPr>
        <w:t>5fps</w:t>
      </w:r>
      <w:r w:rsidR="00F4657A" w:rsidRPr="00454992">
        <w:rPr>
          <w:rFonts w:hint="eastAsia"/>
          <w:color w:val="000000" w:themeColor="text1"/>
        </w:rPr>
        <w:t>（每秒帧数）；视频码率不低于8Mbps（每秒比特数）；视频采用MP4格式；图像不过亮、过暗；人、物移动时无拖影、耀光现象。音频采样率不低于4</w:t>
      </w:r>
      <w:r w:rsidR="00F4657A" w:rsidRPr="00454992">
        <w:rPr>
          <w:color w:val="000000" w:themeColor="text1"/>
        </w:rPr>
        <w:t>8</w:t>
      </w:r>
      <w:r w:rsidR="00F4657A" w:rsidRPr="00454992">
        <w:rPr>
          <w:rFonts w:hint="eastAsia"/>
          <w:color w:val="000000" w:themeColor="text1"/>
        </w:rPr>
        <w:t>KHz；音频码率不低于1</w:t>
      </w:r>
      <w:r w:rsidR="00F4657A" w:rsidRPr="00454992">
        <w:rPr>
          <w:color w:val="000000" w:themeColor="text1"/>
        </w:rPr>
        <w:t>.4</w:t>
      </w:r>
      <w:r w:rsidR="00F4657A" w:rsidRPr="00454992">
        <w:rPr>
          <w:rFonts w:hint="eastAsia"/>
          <w:color w:val="000000" w:themeColor="text1"/>
        </w:rPr>
        <w:t>Mbps，音频信噪比不低于5</w:t>
      </w:r>
      <w:r w:rsidR="00F4657A" w:rsidRPr="00454992">
        <w:rPr>
          <w:color w:val="000000" w:themeColor="text1"/>
        </w:rPr>
        <w:t>0dB</w:t>
      </w:r>
      <w:r w:rsidR="00F4657A" w:rsidRPr="00454992">
        <w:rPr>
          <w:rFonts w:hint="eastAsia"/>
          <w:color w:val="000000" w:themeColor="text1"/>
        </w:rPr>
        <w:t>。</w:t>
      </w:r>
      <w:r w:rsidRPr="00454992">
        <w:rPr>
          <w:rFonts w:hint="eastAsia"/>
          <w:color w:val="000000" w:themeColor="text1"/>
        </w:rPr>
        <w:t>音频要求清晰，无交流声或其他杂音、噪声等缺陷；所有视频要求配备字幕。</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3.服务商应在服务合同中明确每分钟（学分学时要求依据西北农林科技大学2014版本科培养方案执行）视频制作及服务的费用，本门课程总时长时间预估</w:t>
      </w:r>
      <w:r w:rsidR="00653E3F" w:rsidRPr="00454992">
        <w:rPr>
          <w:rFonts w:hint="eastAsia"/>
          <w:color w:val="000000" w:themeColor="text1"/>
        </w:rPr>
        <w:t>不少于</w:t>
      </w:r>
      <w:r w:rsidR="00000683" w:rsidRPr="00454992">
        <w:rPr>
          <w:color w:val="000000" w:themeColor="text1"/>
        </w:rPr>
        <w:t>6</w:t>
      </w:r>
      <w:r w:rsidR="00653E3F" w:rsidRPr="00454992">
        <w:rPr>
          <w:color w:val="000000" w:themeColor="text1"/>
        </w:rPr>
        <w:t>00</w:t>
      </w:r>
      <w:r w:rsidRPr="00454992">
        <w:rPr>
          <w:rFonts w:hint="eastAsia"/>
          <w:color w:val="000000" w:themeColor="text1"/>
        </w:rPr>
        <w:t>分钟</w:t>
      </w:r>
      <w:r w:rsidR="007C67C2" w:rsidRPr="00454992">
        <w:rPr>
          <w:rFonts w:hint="eastAsia"/>
          <w:color w:val="000000" w:themeColor="text1"/>
        </w:rPr>
        <w:t>。</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4.</w:t>
      </w:r>
      <w:r w:rsidR="007F29C1" w:rsidRPr="00454992">
        <w:rPr>
          <w:rFonts w:hint="eastAsia"/>
          <w:color w:val="000000" w:themeColor="text1"/>
        </w:rPr>
        <w:t>合同价格包含</w:t>
      </w:r>
      <w:r w:rsidRPr="00454992">
        <w:rPr>
          <w:rFonts w:hint="eastAsia"/>
          <w:color w:val="000000" w:themeColor="text1"/>
        </w:rPr>
        <w:t>前期拍摄（拍摄编导、摄像师、灯光师、录音师、化妆师、专业级录影棚）和后期制作（视频剪辑、音效制作、特效制作、片头片尾片花制作，视频包装等全流程制作），以及完成上线。</w:t>
      </w:r>
    </w:p>
    <w:p w:rsidR="00000683"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5.在中标服务商协助下，课程的负责人根据课程内容呈现和实际教学的需要，对课程进行课程设计、知识点碎片化并提出制作要求。</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6.在线开放课程制作完毕后，服务商须全程辅助教师将课程应用于实际教学中，协助和指导教师在采购人指定MOOC平台认证上线，需提供不少于一年的上线运行服务，实现网络教学、翻转教学。</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lastRenderedPageBreak/>
        <w:t>7.服务商需在杨凌本地建设录制场地，如常规拍摄影棚、抠像拍摄影棚、智慧教室录播场地等，并能支持在学校本地进行驻场服务。</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8.服务团队规模及配置能保证课程制作的质量和进度；服务商须具有</w:t>
      </w:r>
      <w:r w:rsidR="0042632E" w:rsidRPr="00454992">
        <w:rPr>
          <w:rFonts w:hint="eastAsia"/>
          <w:color w:val="000000" w:themeColor="text1"/>
        </w:rPr>
        <w:t>丰富</w:t>
      </w:r>
      <w:r w:rsidRPr="00454992">
        <w:rPr>
          <w:rFonts w:hint="eastAsia"/>
          <w:color w:val="000000" w:themeColor="text1"/>
        </w:rPr>
        <w:t>的课程运行经验，投标商需提供</w:t>
      </w:r>
      <w:r w:rsidR="0042632E" w:rsidRPr="00454992">
        <w:rPr>
          <w:rFonts w:hint="eastAsia"/>
          <w:color w:val="000000" w:themeColor="text1"/>
        </w:rPr>
        <w:t>自主研发的国家级开放课程平台的</w:t>
      </w:r>
      <w:r w:rsidRPr="00454992">
        <w:rPr>
          <w:rFonts w:hint="eastAsia"/>
          <w:color w:val="000000" w:themeColor="text1"/>
        </w:rPr>
        <w:t>的软件著作权</w:t>
      </w:r>
      <w:r w:rsidR="0042632E" w:rsidRPr="00454992">
        <w:rPr>
          <w:rFonts w:hint="eastAsia"/>
          <w:color w:val="000000" w:themeColor="text1"/>
        </w:rPr>
        <w:t>登记证书</w:t>
      </w:r>
      <w:r w:rsidRPr="00454992">
        <w:rPr>
          <w:rFonts w:hint="eastAsia"/>
          <w:color w:val="000000" w:themeColor="text1"/>
        </w:rPr>
        <w:t>、信息安全等级证书</w:t>
      </w:r>
      <w:r w:rsidR="0042632E" w:rsidRPr="00454992">
        <w:rPr>
          <w:rFonts w:hint="eastAsia"/>
          <w:color w:val="000000" w:themeColor="text1"/>
        </w:rPr>
        <w:t>。</w:t>
      </w:r>
    </w:p>
    <w:p w:rsidR="004A4FCA" w:rsidRPr="00454992" w:rsidRDefault="00000683" w:rsidP="00454992">
      <w:pPr>
        <w:pStyle w:val="a7"/>
        <w:shd w:val="clear" w:color="auto" w:fill="FFFFFF"/>
        <w:spacing w:before="0" w:beforeAutospacing="0" w:after="0" w:afterAutospacing="0" w:line="504" w:lineRule="atLeast"/>
        <w:jc w:val="both"/>
        <w:rPr>
          <w:color w:val="000000" w:themeColor="text1"/>
        </w:rPr>
      </w:pPr>
      <w:r w:rsidRPr="00454992">
        <w:rPr>
          <w:rFonts w:hint="eastAsia"/>
          <w:color w:val="000000" w:themeColor="text1"/>
        </w:rPr>
        <w:t>三</w:t>
      </w:r>
      <w:r w:rsidR="004A4FCA" w:rsidRPr="00454992">
        <w:rPr>
          <w:rFonts w:hint="eastAsia"/>
          <w:color w:val="000000" w:themeColor="text1"/>
        </w:rPr>
        <w:t>、成片要求</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1.视频采用H.264（MPEG-4 Part 10：profile="main." Level="3.0）编码的MP4格式，音频压缩采用AAC（MPEG-4" Part 3）格式。高清成片，分辨率不低于1920×1080像素，双声道音频音效。</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2.保留剪辑源文件、1080P源文件、素材去版权处理，拍摄素材版权归学校所有。</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3.课程宣传片应包含主讲教师中文名、形象照片、学院中文名及学校LOGO、章节名称、知识点名称。</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4.视频应包含片头、片尾制作，片头和片尾动画长度在3-10秒之间，根据课程需要确定具体长度。</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5.成片提交必须经过三段式审核，由课程策划师完成脚本审核，成片流畅，无明显硬伤，课程内容完整，表现力达到课程策划要求；学院审核，成片达到技术标准，质量达到课程要求，视觉构图完美，呈现方式卓越；主讲教师审核，成片知识点内容无错漏，解说展示符合主讲教师逻辑，课程内容完整。</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6.课程建设完成一年内，如发现课程视频相关问题，需配合及时更正。</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7.独立的SRT格式的字幕文件，符合标准的UTF8编码。字幕时间线排列标准，无明显错误，音频对轨误差不超过500毫秒。无错别字，无口述性逻辑错误，单行显示。</w:t>
      </w:r>
    </w:p>
    <w:p w:rsidR="004A4FCA" w:rsidRPr="00454992" w:rsidRDefault="00000683" w:rsidP="00454992">
      <w:pPr>
        <w:pStyle w:val="a7"/>
        <w:shd w:val="clear" w:color="auto" w:fill="FFFFFF"/>
        <w:spacing w:before="0" w:beforeAutospacing="0" w:after="0" w:afterAutospacing="0" w:line="504" w:lineRule="atLeast"/>
        <w:jc w:val="both"/>
        <w:rPr>
          <w:color w:val="000000" w:themeColor="text1"/>
        </w:rPr>
      </w:pPr>
      <w:r w:rsidRPr="00454992">
        <w:rPr>
          <w:rFonts w:hint="eastAsia"/>
          <w:color w:val="000000" w:themeColor="text1"/>
        </w:rPr>
        <w:t>四</w:t>
      </w:r>
      <w:r w:rsidR="004A4FCA" w:rsidRPr="00454992">
        <w:rPr>
          <w:rFonts w:hint="eastAsia"/>
          <w:color w:val="000000" w:themeColor="text1"/>
        </w:rPr>
        <w:t>、项目进度要求</w:t>
      </w:r>
    </w:p>
    <w:p w:rsidR="007F29C1" w:rsidRPr="00454992" w:rsidRDefault="007F29C1" w:rsidP="004A4FCA">
      <w:pPr>
        <w:pStyle w:val="a7"/>
        <w:shd w:val="clear" w:color="auto" w:fill="FFFFFF"/>
        <w:spacing w:before="0" w:beforeAutospacing="0" w:after="0" w:afterAutospacing="0" w:line="504" w:lineRule="atLeast"/>
        <w:ind w:firstLine="480"/>
        <w:jc w:val="both"/>
        <w:rPr>
          <w:rFonts w:ascii="仿宋" w:eastAsia="仿宋" w:hAnsi="仿宋" w:cs="仿宋"/>
          <w:color w:val="000000" w:themeColor="text1"/>
        </w:rPr>
      </w:pPr>
      <w:r w:rsidRPr="00454992">
        <w:rPr>
          <w:rFonts w:hint="eastAsia"/>
          <w:color w:val="000000" w:themeColor="text1"/>
        </w:rPr>
        <w:t>在甲方准备好脚本、协调好拍摄时间的情况下，一个月内交付</w:t>
      </w:r>
      <w:r w:rsidRPr="00454992">
        <w:rPr>
          <w:rFonts w:ascii="仿宋" w:eastAsia="仿宋" w:hAnsi="仿宋" w:cs="仿宋" w:hint="eastAsia"/>
          <w:color w:val="000000" w:themeColor="text1"/>
        </w:rPr>
        <w:t>。</w:t>
      </w:r>
    </w:p>
    <w:p w:rsidR="004A4FCA" w:rsidRPr="00454992" w:rsidRDefault="00000683" w:rsidP="00454992">
      <w:pPr>
        <w:pStyle w:val="a7"/>
        <w:shd w:val="clear" w:color="auto" w:fill="FFFFFF"/>
        <w:spacing w:before="0" w:beforeAutospacing="0" w:after="0" w:afterAutospacing="0" w:line="504" w:lineRule="atLeast"/>
        <w:jc w:val="both"/>
        <w:rPr>
          <w:color w:val="000000" w:themeColor="text1"/>
        </w:rPr>
      </w:pPr>
      <w:r w:rsidRPr="00454992">
        <w:rPr>
          <w:rFonts w:hint="eastAsia"/>
          <w:color w:val="000000" w:themeColor="text1"/>
        </w:rPr>
        <w:t>五</w:t>
      </w:r>
      <w:r w:rsidR="004A4FCA" w:rsidRPr="00454992">
        <w:rPr>
          <w:rFonts w:hint="eastAsia"/>
          <w:color w:val="000000" w:themeColor="text1"/>
        </w:rPr>
        <w:t>、质保期和售后服务承诺</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lastRenderedPageBreak/>
        <w:t>1.质保期至少为验收合格后一年，响应人可根据自己的具体情况适当延长或做出其他服务承诺。质保期满前1个月提供一次免费全面检查，并出具正式报告，如发现潜在问题，负责免费排除。控制软件终身免费升级及维护，并提供配件更换的可行性方案，终生免费提供技术咨询。</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2.质保期服务包括修改和技术支持。质保期内发现错误需要及时响应并于48小时内到西农指定地点进行修正。</w:t>
      </w:r>
    </w:p>
    <w:p w:rsidR="004A4FCA" w:rsidRPr="00454992" w:rsidRDefault="00000683" w:rsidP="00454992">
      <w:pPr>
        <w:pStyle w:val="a7"/>
        <w:shd w:val="clear" w:color="auto" w:fill="FFFFFF"/>
        <w:spacing w:before="0" w:beforeAutospacing="0" w:after="0" w:afterAutospacing="0" w:line="504" w:lineRule="atLeast"/>
        <w:jc w:val="both"/>
        <w:rPr>
          <w:color w:val="000000" w:themeColor="text1"/>
        </w:rPr>
      </w:pPr>
      <w:r w:rsidRPr="00454992">
        <w:rPr>
          <w:rFonts w:hint="eastAsia"/>
          <w:color w:val="000000" w:themeColor="text1"/>
        </w:rPr>
        <w:t>六</w:t>
      </w:r>
      <w:r w:rsidR="004A4FCA" w:rsidRPr="00454992">
        <w:rPr>
          <w:rFonts w:hint="eastAsia"/>
          <w:color w:val="000000" w:themeColor="text1"/>
        </w:rPr>
        <w:t>、标书要求</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1.标书需要三份（一正两副）。</w:t>
      </w:r>
    </w:p>
    <w:p w:rsidR="004A4FCA" w:rsidRPr="00454992" w:rsidRDefault="004A4FCA" w:rsidP="004A4FCA">
      <w:pPr>
        <w:pStyle w:val="a7"/>
        <w:shd w:val="clear" w:color="auto" w:fill="FFFFFF"/>
        <w:spacing w:before="0" w:beforeAutospacing="0" w:after="0" w:afterAutospacing="0" w:line="504" w:lineRule="atLeast"/>
        <w:ind w:firstLine="480"/>
        <w:jc w:val="both"/>
        <w:rPr>
          <w:color w:val="000000" w:themeColor="text1"/>
        </w:rPr>
      </w:pPr>
      <w:r w:rsidRPr="00454992">
        <w:rPr>
          <w:rFonts w:hint="eastAsia"/>
          <w:color w:val="000000" w:themeColor="text1"/>
        </w:rPr>
        <w:t>2.标书包含以下内容：公司简介、资质文件、营业执照、联系方式、投标人身份证复印件、报价单等相关材料。</w:t>
      </w:r>
    </w:p>
    <w:p w:rsidR="007F29C1" w:rsidRPr="00454992" w:rsidRDefault="00000683" w:rsidP="00454992">
      <w:pPr>
        <w:pStyle w:val="a7"/>
        <w:shd w:val="clear" w:color="auto" w:fill="FFFFFF"/>
        <w:spacing w:before="0" w:beforeAutospacing="0" w:afterLines="50" w:after="156" w:afterAutospacing="0" w:line="504" w:lineRule="atLeast"/>
        <w:jc w:val="both"/>
        <w:rPr>
          <w:rFonts w:cs="仿宋_GB2312"/>
          <w:kern w:val="2"/>
        </w:rPr>
      </w:pPr>
      <w:r w:rsidRPr="00454992">
        <w:rPr>
          <w:rFonts w:cs="仿宋_GB2312" w:hint="eastAsia"/>
          <w:kern w:val="2"/>
        </w:rPr>
        <w:t>七</w:t>
      </w:r>
      <w:r w:rsidR="007F29C1" w:rsidRPr="00454992">
        <w:rPr>
          <w:rFonts w:cs="仿宋_GB2312" w:hint="eastAsia"/>
          <w:kern w:val="2"/>
        </w:rPr>
        <w:t>、</w:t>
      </w:r>
      <w:r w:rsidR="00EC1FA8" w:rsidRPr="00454992">
        <w:rPr>
          <w:rFonts w:cs="仿宋_GB2312" w:hint="eastAsia"/>
          <w:kern w:val="2"/>
        </w:rPr>
        <w:t>评审办法</w:t>
      </w:r>
      <w:bookmarkStart w:id="0" w:name="_GoBack"/>
      <w:bookmarkEnd w:id="0"/>
    </w:p>
    <w:tbl>
      <w:tblPr>
        <w:tblW w:w="9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2"/>
        <w:gridCol w:w="1054"/>
        <w:gridCol w:w="720"/>
        <w:gridCol w:w="6744"/>
      </w:tblGrid>
      <w:tr w:rsidR="00EC1FA8" w:rsidRPr="00197EEB" w:rsidTr="00AF2B7D">
        <w:trPr>
          <w:trHeight w:val="275"/>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jc w:val="center"/>
              <w:rPr>
                <w:rFonts w:ascii="宋体" w:eastAsia="宋体" w:hAnsi="宋体" w:cs="仿宋_GB2312"/>
                <w:bCs/>
                <w:sz w:val="24"/>
                <w:szCs w:val="24"/>
              </w:rPr>
            </w:pPr>
            <w:r w:rsidRPr="00197EEB">
              <w:rPr>
                <w:rFonts w:ascii="宋体" w:eastAsia="宋体" w:hAnsi="宋体" w:cs="仿宋_GB2312" w:hint="eastAsia"/>
                <w:bCs/>
                <w:sz w:val="24"/>
                <w:szCs w:val="24"/>
              </w:rPr>
              <w:t>序号</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jc w:val="center"/>
              <w:rPr>
                <w:rFonts w:ascii="宋体" w:eastAsia="宋体" w:hAnsi="宋体" w:cs="仿宋_GB2312"/>
                <w:bCs/>
                <w:sz w:val="24"/>
                <w:szCs w:val="24"/>
              </w:rPr>
            </w:pPr>
            <w:r w:rsidRPr="00197EEB">
              <w:rPr>
                <w:rFonts w:ascii="宋体" w:eastAsia="宋体" w:hAnsi="宋体" w:cs="仿宋_GB2312" w:hint="eastAsia"/>
                <w:bCs/>
                <w:sz w:val="24"/>
                <w:szCs w:val="24"/>
              </w:rPr>
              <w:t>评审因素</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jc w:val="center"/>
              <w:rPr>
                <w:rFonts w:ascii="宋体" w:eastAsia="宋体" w:hAnsi="宋体" w:cs="仿宋_GB2312"/>
                <w:bCs/>
                <w:sz w:val="24"/>
                <w:szCs w:val="24"/>
              </w:rPr>
            </w:pPr>
            <w:r w:rsidRPr="00197EEB">
              <w:rPr>
                <w:rFonts w:ascii="宋体" w:eastAsia="宋体" w:hAnsi="宋体" w:cs="仿宋_GB2312" w:hint="eastAsia"/>
                <w:bCs/>
                <w:sz w:val="24"/>
                <w:szCs w:val="24"/>
              </w:rPr>
              <w:t>分值</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jc w:val="center"/>
              <w:rPr>
                <w:rFonts w:ascii="宋体" w:eastAsia="宋体" w:hAnsi="宋体" w:cs="仿宋_GB2312"/>
                <w:bCs/>
                <w:sz w:val="24"/>
                <w:szCs w:val="24"/>
              </w:rPr>
            </w:pPr>
            <w:r w:rsidRPr="00197EEB">
              <w:rPr>
                <w:rFonts w:ascii="宋体" w:eastAsia="宋体" w:hAnsi="宋体" w:cs="仿宋_GB2312" w:hint="eastAsia"/>
                <w:bCs/>
                <w:sz w:val="24"/>
                <w:szCs w:val="24"/>
              </w:rPr>
              <w:t>评审内容</w:t>
            </w:r>
          </w:p>
        </w:tc>
      </w:tr>
      <w:tr w:rsidR="00EC1FA8" w:rsidRPr="00197EEB" w:rsidTr="00AF2B7D">
        <w:trPr>
          <w:trHeight w:val="454"/>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1</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报价</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10分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有效投标报价中最低的投标报价为评标基准价，其报价分为满分10分。其他投标人的报价分统一按照下列公式计算：报价分得分=（评标基准价／投标报价）×10</w:t>
            </w:r>
          </w:p>
        </w:tc>
      </w:tr>
      <w:tr w:rsidR="00EC1FA8" w:rsidRPr="00197EEB" w:rsidTr="00AF2B7D">
        <w:trPr>
          <w:trHeight w:val="275"/>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2</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技术响应</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20分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对照招标文件规定的技术需求，完全响应招标文件需求的（计20分；每负偏离一项扣2分，扣完为止；）</w:t>
            </w:r>
          </w:p>
        </w:tc>
      </w:tr>
      <w:tr w:rsidR="00EC1FA8" w:rsidRPr="00197EEB" w:rsidTr="00AF2B7D">
        <w:trPr>
          <w:trHeight w:val="329"/>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3</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制作</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技术方案</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15分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根据供应商制作技术方案的总体思路、对采购需求的响应程度，综合评定赋分：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1.方案设计合理，完全满足采购人实际需求，无缺漏项，计（10-15]分；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2.方案设计较为合理，基本满足采购人实际需求，有细微漏项，计（4-9]分；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3.方案设计较差，有严重缺漏项，计[0-4]分。</w:t>
            </w:r>
          </w:p>
        </w:tc>
      </w:tr>
      <w:tr w:rsidR="00EC1FA8" w:rsidRPr="00197EEB" w:rsidTr="00AF2B7D">
        <w:trPr>
          <w:trHeight w:val="275"/>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4</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项目</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实施方案</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12分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方案内容包括但不限于课程设计、制作、拍摄策划、片头片尾策划、拍摄场地、项目投入设科学、合理性等，根据响应程度：</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1.方案设计合理，完全满足采购人实际需求，无缺漏项，计（9-12]分；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lastRenderedPageBreak/>
              <w:t>2.方案设计较为合理，基本满足采购人实际需求，有细微漏项，计（5-8]分；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3.方案设计较差，有严重缺漏项，计[0-4]分。</w:t>
            </w:r>
          </w:p>
        </w:tc>
      </w:tr>
      <w:tr w:rsidR="00EC1FA8" w:rsidRPr="00197EEB" w:rsidTr="00AF2B7D">
        <w:trPr>
          <w:trHeight w:val="275"/>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lastRenderedPageBreak/>
              <w:t>5</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人员配备</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444652">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8分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项目组人员配备需满足采购人需求，根据供应商项目组人员配备情况、职业资格、资历、从业经历、相关成功案例等进行评审。</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1.项目组人员配备科学、合理，满足项目需求，能够更好的为本项目提供服务的，得（6-8]分；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2.项目组人员配备人员简单、较合理，能够为本项目提供服务的，得（3-5]分；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3.项目组人员配备人员不足、人员搭配有欠缺，基本能为本项目提供服务的，得[0-2]分；</w:t>
            </w:r>
          </w:p>
          <w:p w:rsidR="00EC1FA8" w:rsidRPr="00197EEB" w:rsidRDefault="00EC1FA8" w:rsidP="0089612A">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注：团队人员需提供社保缴纳证明材料复印件，如未提供齐全或提供的社保非本供应商缴纳的，视其未配备相应人员。</w:t>
            </w:r>
          </w:p>
        </w:tc>
      </w:tr>
      <w:tr w:rsidR="00EC1FA8" w:rsidRPr="00197EEB" w:rsidTr="00AF2B7D">
        <w:trPr>
          <w:trHeight w:val="320"/>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6</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运行</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推广能力</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444652">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5分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776D69">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为确保课程</w:t>
            </w:r>
            <w:r w:rsidR="00F67BB5" w:rsidRPr="00197EEB">
              <w:rPr>
                <w:rFonts w:ascii="宋体" w:eastAsia="宋体" w:hAnsi="宋体" w:cs="仿宋_GB2312" w:hint="eastAsia"/>
                <w:sz w:val="24"/>
                <w:szCs w:val="24"/>
              </w:rPr>
              <w:t>上线后的运营质量和效果</w:t>
            </w:r>
            <w:r w:rsidRPr="00197EEB">
              <w:rPr>
                <w:rFonts w:ascii="宋体" w:eastAsia="宋体" w:hAnsi="宋体" w:cs="仿宋_GB2312" w:hint="eastAsia"/>
                <w:sz w:val="24"/>
                <w:szCs w:val="24"/>
              </w:rPr>
              <w:t>，供应商须拥有自主研发的国家级开放课程平台，</w:t>
            </w:r>
            <w:r w:rsidR="00776D69" w:rsidRPr="00197EEB">
              <w:rPr>
                <w:rFonts w:ascii="宋体" w:eastAsia="宋体" w:hAnsi="宋体" w:cs="仿宋_GB2312" w:hint="eastAsia"/>
                <w:sz w:val="24"/>
                <w:szCs w:val="24"/>
              </w:rPr>
              <w:t>具备丰富的课程运行和推广能力。</w:t>
            </w:r>
          </w:p>
        </w:tc>
      </w:tr>
      <w:tr w:rsidR="00EC1FA8" w:rsidRPr="00197EEB" w:rsidTr="00AF2B7D">
        <w:trPr>
          <w:trHeight w:val="275"/>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7</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现场演示</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444652">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10分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根据演示样片的制作思路是否清晰，技术路线的合理性，样片设计以及后期制作的技术性能等根据演示效果进行打分。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演示内容一：提供一门已制作完成的课程样片进行展示，课程样片须包含多种拍摄手法，为后续课程建设提供参考。</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（1）课程案例内容包含课程教学资料的主要要素，无知识性和常识性错误，画面清晰，构图合理，声音干净无杂音，特效使用合理，画面设计简洁美观，计</w:t>
            </w:r>
            <w:r w:rsidR="00F67BB5" w:rsidRPr="00197EEB">
              <w:rPr>
                <w:rFonts w:ascii="宋体" w:eastAsia="宋体" w:hAnsi="宋体" w:cs="仿宋_GB2312" w:hint="eastAsia"/>
                <w:sz w:val="24"/>
                <w:szCs w:val="24"/>
              </w:rPr>
              <w:t>[</w:t>
            </w:r>
            <w:r w:rsidRPr="00197EEB">
              <w:rPr>
                <w:rFonts w:ascii="宋体" w:eastAsia="宋体" w:hAnsi="宋体" w:cs="仿宋_GB2312" w:hint="eastAsia"/>
                <w:sz w:val="24"/>
                <w:szCs w:val="24"/>
              </w:rPr>
              <w:t>1-</w:t>
            </w:r>
            <w:r w:rsidR="0042632E" w:rsidRPr="00197EEB">
              <w:rPr>
                <w:rFonts w:ascii="宋体" w:eastAsia="宋体" w:hAnsi="宋体" w:cs="仿宋_GB2312"/>
                <w:sz w:val="24"/>
                <w:szCs w:val="24"/>
              </w:rPr>
              <w:t>3</w:t>
            </w:r>
            <w:r w:rsidRPr="00197EEB">
              <w:rPr>
                <w:rFonts w:ascii="宋体" w:eastAsia="宋体" w:hAnsi="宋体" w:cs="仿宋_GB2312" w:hint="eastAsia"/>
                <w:sz w:val="24"/>
                <w:szCs w:val="24"/>
              </w:rPr>
              <w:t>]分；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w:t>
            </w:r>
            <w:r w:rsidR="00005A9A">
              <w:rPr>
                <w:rFonts w:ascii="宋体" w:eastAsia="宋体" w:hAnsi="宋体" w:cs="仿宋_GB2312"/>
                <w:sz w:val="24"/>
                <w:szCs w:val="24"/>
              </w:rPr>
              <w:t>2</w:t>
            </w:r>
            <w:r w:rsidRPr="00197EEB">
              <w:rPr>
                <w:rFonts w:ascii="宋体" w:eastAsia="宋体" w:hAnsi="宋体" w:cs="仿宋_GB2312" w:hint="eastAsia"/>
                <w:sz w:val="24"/>
                <w:szCs w:val="24"/>
              </w:rPr>
              <w:t>）</w:t>
            </w:r>
            <w:r w:rsidR="00F67BB5" w:rsidRPr="00197EEB">
              <w:rPr>
                <w:rFonts w:ascii="宋体" w:eastAsia="宋体" w:hAnsi="宋体" w:cs="仿宋_GB2312" w:hint="eastAsia"/>
                <w:sz w:val="24"/>
                <w:szCs w:val="24"/>
              </w:rPr>
              <w:t>根据研究生在线示范课程的要求，</w:t>
            </w:r>
            <w:r w:rsidRPr="00197EEB">
              <w:rPr>
                <w:rFonts w:ascii="宋体" w:eastAsia="宋体" w:hAnsi="宋体" w:cs="仿宋_GB2312" w:hint="eastAsia"/>
                <w:sz w:val="24"/>
                <w:szCs w:val="24"/>
              </w:rPr>
              <w:t>演示</w:t>
            </w:r>
            <w:r w:rsidR="00F67BB5" w:rsidRPr="00197EEB">
              <w:rPr>
                <w:rFonts w:ascii="宋体" w:eastAsia="宋体" w:hAnsi="宋体" w:cs="仿宋_GB2312" w:hint="eastAsia"/>
                <w:sz w:val="24"/>
                <w:szCs w:val="24"/>
              </w:rPr>
              <w:t>须</w:t>
            </w:r>
            <w:r w:rsidRPr="00197EEB">
              <w:rPr>
                <w:rFonts w:ascii="宋体" w:eastAsia="宋体" w:hAnsi="宋体" w:cs="仿宋_GB2312" w:hint="eastAsia"/>
                <w:sz w:val="24"/>
                <w:szCs w:val="24"/>
              </w:rPr>
              <w:t>提供《</w:t>
            </w:r>
            <w:r w:rsidR="00444652" w:rsidRPr="00197EEB">
              <w:rPr>
                <w:rFonts w:ascii="宋体" w:eastAsia="宋体" w:hAnsi="宋体" w:cs="仿宋_GB2312" w:hint="eastAsia"/>
                <w:sz w:val="24"/>
                <w:szCs w:val="24"/>
              </w:rPr>
              <w:t>动物营养与饲养学</w:t>
            </w:r>
            <w:r w:rsidRPr="00197EEB">
              <w:rPr>
                <w:rFonts w:ascii="宋体" w:eastAsia="宋体" w:hAnsi="宋体" w:cs="仿宋_GB2312" w:hint="eastAsia"/>
                <w:sz w:val="24"/>
                <w:szCs w:val="24"/>
              </w:rPr>
              <w:t>》课程制作相关的辅助</w:t>
            </w:r>
            <w:r w:rsidR="00F67BB5" w:rsidRPr="00197EEB">
              <w:rPr>
                <w:rFonts w:ascii="宋体" w:eastAsia="宋体" w:hAnsi="宋体" w:cs="仿宋_GB2312" w:hint="eastAsia"/>
                <w:sz w:val="24"/>
                <w:szCs w:val="24"/>
              </w:rPr>
              <w:t>参考文献：</w:t>
            </w:r>
            <w:r w:rsidR="00444652" w:rsidRPr="00197EEB">
              <w:rPr>
                <w:rFonts w:ascii="宋体" w:eastAsia="宋体" w:hAnsi="宋体" w:cs="仿宋_GB2312" w:hint="eastAsia"/>
                <w:sz w:val="24"/>
                <w:szCs w:val="24"/>
              </w:rPr>
              <w:t>电子</w:t>
            </w:r>
            <w:r w:rsidRPr="00197EEB">
              <w:rPr>
                <w:rFonts w:ascii="宋体" w:eastAsia="宋体" w:hAnsi="宋体" w:cs="仿宋_GB2312" w:hint="eastAsia"/>
                <w:sz w:val="24"/>
                <w:szCs w:val="24"/>
              </w:rPr>
              <w:t>期刊文献</w:t>
            </w:r>
            <w:r w:rsidR="007E54B4" w:rsidRPr="00197EEB">
              <w:rPr>
                <w:rFonts w:ascii="宋体" w:eastAsia="宋体" w:hAnsi="宋体" w:cs="仿宋_GB2312" w:hint="eastAsia"/>
                <w:sz w:val="24"/>
                <w:szCs w:val="24"/>
              </w:rPr>
              <w:t>不少于</w:t>
            </w:r>
            <w:r w:rsidRPr="00197EEB">
              <w:rPr>
                <w:rFonts w:ascii="宋体" w:eastAsia="宋体" w:hAnsi="宋体" w:cs="仿宋_GB2312" w:hint="eastAsia"/>
                <w:sz w:val="24"/>
                <w:szCs w:val="24"/>
              </w:rPr>
              <w:t>2000篇、</w:t>
            </w:r>
            <w:r w:rsidR="00444652" w:rsidRPr="00197EEB">
              <w:rPr>
                <w:rFonts w:ascii="宋体" w:eastAsia="宋体" w:hAnsi="宋体" w:cs="仿宋_GB2312" w:hint="eastAsia"/>
                <w:sz w:val="24"/>
                <w:szCs w:val="24"/>
              </w:rPr>
              <w:t>电子</w:t>
            </w:r>
            <w:r w:rsidRPr="00197EEB">
              <w:rPr>
                <w:rFonts w:ascii="宋体" w:eastAsia="宋体" w:hAnsi="宋体" w:cs="仿宋_GB2312" w:hint="eastAsia"/>
                <w:sz w:val="24"/>
                <w:szCs w:val="24"/>
              </w:rPr>
              <w:t>图书资料</w:t>
            </w:r>
            <w:r w:rsidR="007E54B4" w:rsidRPr="00197EEB">
              <w:rPr>
                <w:rFonts w:ascii="宋体" w:eastAsia="宋体" w:hAnsi="宋体" w:cs="仿宋_GB2312" w:hint="eastAsia"/>
                <w:sz w:val="24"/>
                <w:szCs w:val="24"/>
              </w:rPr>
              <w:t>不少于</w:t>
            </w:r>
            <w:r w:rsidRPr="00197EEB">
              <w:rPr>
                <w:rFonts w:ascii="宋体" w:eastAsia="宋体" w:hAnsi="宋体" w:cs="仿宋_GB2312" w:hint="eastAsia"/>
                <w:sz w:val="24"/>
                <w:szCs w:val="24"/>
              </w:rPr>
              <w:t>500本、音视频</w:t>
            </w:r>
            <w:r w:rsidR="007E54B4" w:rsidRPr="00197EEB">
              <w:rPr>
                <w:rFonts w:ascii="宋体" w:eastAsia="宋体" w:hAnsi="宋体" w:cs="仿宋_GB2312" w:hint="eastAsia"/>
                <w:sz w:val="24"/>
                <w:szCs w:val="24"/>
              </w:rPr>
              <w:t>不少于</w:t>
            </w:r>
            <w:r w:rsidRPr="00197EEB">
              <w:rPr>
                <w:rFonts w:ascii="宋体" w:eastAsia="宋体" w:hAnsi="宋体" w:cs="仿宋_GB2312" w:hint="eastAsia"/>
                <w:sz w:val="24"/>
                <w:szCs w:val="24"/>
              </w:rPr>
              <w:t>60部。计[1-</w:t>
            </w:r>
            <w:r w:rsidR="00F67BB5" w:rsidRPr="00197EEB">
              <w:rPr>
                <w:rFonts w:ascii="宋体" w:eastAsia="宋体" w:hAnsi="宋体" w:cs="仿宋_GB2312"/>
                <w:sz w:val="24"/>
                <w:szCs w:val="24"/>
              </w:rPr>
              <w:t>4</w:t>
            </w:r>
            <w:r w:rsidRPr="00197EEB">
              <w:rPr>
                <w:rFonts w:ascii="宋体" w:eastAsia="宋体" w:hAnsi="宋体" w:cs="仿宋_GB2312" w:hint="eastAsia"/>
                <w:sz w:val="24"/>
                <w:szCs w:val="24"/>
              </w:rPr>
              <w:t>]分，未演示不计分。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2.演示内容二：</w:t>
            </w:r>
            <w:r w:rsidR="00C145F7" w:rsidRPr="00197EEB">
              <w:rPr>
                <w:rFonts w:ascii="宋体" w:eastAsia="宋体" w:hAnsi="宋体" w:cs="仿宋_GB2312" w:hint="eastAsia"/>
                <w:sz w:val="24"/>
                <w:szCs w:val="24"/>
              </w:rPr>
              <w:t>为保证课程上线的效果，供应商须具有自主研发的国家级精品在线开放课运行平台，平台功能</w:t>
            </w:r>
            <w:r w:rsidRPr="00197EEB">
              <w:rPr>
                <w:rFonts w:ascii="宋体" w:eastAsia="宋体" w:hAnsi="宋体" w:cs="仿宋_GB2312" w:hint="eastAsia"/>
                <w:sz w:val="24"/>
                <w:szCs w:val="24"/>
              </w:rPr>
              <w:t>至少包含：课件与课堂活动无线投屏、位置手势二维码多种签到方式、课程视频防</w:t>
            </w:r>
            <w:r w:rsidRPr="00197EEB">
              <w:rPr>
                <w:rFonts w:ascii="宋体" w:eastAsia="宋体" w:hAnsi="宋体" w:cs="仿宋_GB2312" w:hint="eastAsia"/>
                <w:sz w:val="24"/>
                <w:szCs w:val="24"/>
              </w:rPr>
              <w:lastRenderedPageBreak/>
              <w:t>拖拽、在线剪辑教学视频、视频插入测试题和课件、过程化管理模块和运行大数据分析。演示符合要求且无漏项计3分，每漏一项扣1分，扣完为止。</w:t>
            </w:r>
          </w:p>
          <w:p w:rsidR="00EC1FA8" w:rsidRPr="00197EEB" w:rsidRDefault="00EC1FA8" w:rsidP="00444652">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注：供应商自带笔记本电脑及附属设备，网络自行解决，总演示时间不超过15分钟。</w:t>
            </w:r>
          </w:p>
        </w:tc>
      </w:tr>
      <w:tr w:rsidR="00EC1FA8" w:rsidRPr="00197EEB" w:rsidTr="00AF2B7D">
        <w:trPr>
          <w:trHeight w:val="275"/>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lastRenderedPageBreak/>
              <w:t>8</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售后服务</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444652">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5分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有独立自有的专业拍摄场地及技术人员（提供场地及人员的证明材料）；能够确保项目能按时、按质完成，对用户的后期服务保证在2小时内做出响应；服务期内技术人员48小时内到达现场；并提供完整详细的售后服务方案及承诺，</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（1）服务方案完整详细，完全满足要求计(3-5]分;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（2）服务方案较简单计[0-3]分。</w:t>
            </w:r>
          </w:p>
        </w:tc>
      </w:tr>
      <w:tr w:rsidR="00EC1FA8" w:rsidRPr="00197EEB" w:rsidTr="00AF2B7D">
        <w:trPr>
          <w:trHeight w:val="275"/>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9</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应急预案</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444652">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5分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针对各种突发情况，交付用户使用后出现故障能提供应急备用预案并立即解决问题的承诺，应急预案及解决办法全面、考虑充分，（1）应急预案完整详细，有针对性计(3-5]分;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（2）应急预案较简单计[0-3]分。</w:t>
            </w:r>
          </w:p>
        </w:tc>
      </w:tr>
      <w:tr w:rsidR="00EC1FA8" w:rsidRPr="00197EEB" w:rsidTr="00AF2B7D">
        <w:trPr>
          <w:trHeight w:val="275"/>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10</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培训</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444652">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5分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提供完善的培训计划和方案，明确管理员、各角色等使用人员的具体培训方式、培训内容、效果评价等切实可行的方案和具体措施，</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（1）培训计划完整详细，可行性强计(3-5]分</w:t>
            </w:r>
          </w:p>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（2）培训计划较简单计[0-3]分</w:t>
            </w:r>
          </w:p>
        </w:tc>
      </w:tr>
      <w:tr w:rsidR="00EC1FA8" w:rsidRPr="00197EEB" w:rsidTr="00AF2B7D">
        <w:trPr>
          <w:trHeight w:val="1046"/>
          <w:jc w:val="center"/>
        </w:trPr>
        <w:tc>
          <w:tcPr>
            <w:tcW w:w="642"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EC1FA8">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11</w:t>
            </w:r>
          </w:p>
        </w:tc>
        <w:tc>
          <w:tcPr>
            <w:tcW w:w="105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AF2B7D">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业绩</w:t>
            </w:r>
          </w:p>
        </w:tc>
        <w:tc>
          <w:tcPr>
            <w:tcW w:w="720"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444652">
            <w:pPr>
              <w:adjustRightInd w:val="0"/>
              <w:snapToGrid w:val="0"/>
              <w:spacing w:line="360" w:lineRule="auto"/>
              <w:jc w:val="center"/>
              <w:rPr>
                <w:rFonts w:ascii="宋体" w:eastAsia="宋体" w:hAnsi="宋体" w:cs="仿宋_GB2312"/>
                <w:sz w:val="24"/>
                <w:szCs w:val="24"/>
              </w:rPr>
            </w:pPr>
            <w:r w:rsidRPr="00197EEB">
              <w:rPr>
                <w:rFonts w:ascii="宋体" w:eastAsia="宋体" w:hAnsi="宋体" w:cs="仿宋_GB2312" w:hint="eastAsia"/>
                <w:sz w:val="24"/>
                <w:szCs w:val="24"/>
              </w:rPr>
              <w:t>5分</w:t>
            </w:r>
          </w:p>
        </w:tc>
        <w:tc>
          <w:tcPr>
            <w:tcW w:w="6744" w:type="dxa"/>
            <w:tcBorders>
              <w:top w:val="single" w:sz="4" w:space="0" w:color="000000"/>
              <w:left w:val="single" w:sz="4" w:space="0" w:color="000000"/>
              <w:bottom w:val="single" w:sz="4" w:space="0" w:color="000000"/>
              <w:right w:val="single" w:sz="4" w:space="0" w:color="000000"/>
            </w:tcBorders>
            <w:vAlign w:val="center"/>
          </w:tcPr>
          <w:p w:rsidR="00EC1FA8" w:rsidRPr="00197EEB" w:rsidRDefault="00EC1FA8" w:rsidP="00FC1CC1">
            <w:pPr>
              <w:adjustRightInd w:val="0"/>
              <w:snapToGrid w:val="0"/>
              <w:spacing w:line="360" w:lineRule="auto"/>
              <w:rPr>
                <w:rFonts w:ascii="宋体" w:eastAsia="宋体" w:hAnsi="宋体" w:cs="仿宋_GB2312"/>
                <w:sz w:val="24"/>
                <w:szCs w:val="24"/>
              </w:rPr>
            </w:pPr>
            <w:r w:rsidRPr="00197EEB">
              <w:rPr>
                <w:rFonts w:ascii="宋体" w:eastAsia="宋体" w:hAnsi="宋体" w:cs="仿宋_GB2312" w:hint="eastAsia"/>
                <w:sz w:val="24"/>
                <w:szCs w:val="24"/>
              </w:rPr>
              <w:t>1、提供202</w:t>
            </w:r>
            <w:r w:rsidR="00FC1CC1">
              <w:rPr>
                <w:rFonts w:ascii="宋体" w:eastAsia="宋体" w:hAnsi="宋体" w:cs="仿宋_GB2312"/>
                <w:sz w:val="24"/>
                <w:szCs w:val="24"/>
              </w:rPr>
              <w:t>2</w:t>
            </w:r>
            <w:r w:rsidRPr="00197EEB">
              <w:rPr>
                <w:rFonts w:ascii="宋体" w:eastAsia="宋体" w:hAnsi="宋体" w:cs="仿宋_GB2312" w:hint="eastAsia"/>
                <w:sz w:val="24"/>
                <w:szCs w:val="24"/>
              </w:rPr>
              <w:t>年</w:t>
            </w:r>
            <w:r w:rsidR="00FC1CC1">
              <w:rPr>
                <w:rFonts w:ascii="宋体" w:eastAsia="宋体" w:hAnsi="宋体" w:cs="仿宋_GB2312"/>
                <w:sz w:val="24"/>
                <w:szCs w:val="24"/>
              </w:rPr>
              <w:t>1</w:t>
            </w:r>
            <w:r w:rsidRPr="00197EEB">
              <w:rPr>
                <w:rFonts w:ascii="宋体" w:eastAsia="宋体" w:hAnsi="宋体" w:cs="仿宋_GB2312" w:hint="eastAsia"/>
                <w:sz w:val="24"/>
                <w:szCs w:val="24"/>
              </w:rPr>
              <w:t>月1日至今</w:t>
            </w:r>
            <w:r w:rsidR="00FC1CC1">
              <w:rPr>
                <w:rFonts w:ascii="宋体" w:eastAsia="宋体" w:hAnsi="宋体" w:cs="仿宋_GB2312" w:hint="eastAsia"/>
                <w:sz w:val="24"/>
                <w:szCs w:val="24"/>
              </w:rPr>
              <w:t>与我校合作的研究生MOOC项目合同（复印件加盖公章，原件备查）</w:t>
            </w:r>
            <w:r w:rsidRPr="00197EEB">
              <w:rPr>
                <w:rFonts w:ascii="宋体" w:eastAsia="宋体" w:hAnsi="宋体" w:cs="仿宋_GB2312" w:hint="eastAsia"/>
                <w:sz w:val="24"/>
                <w:szCs w:val="24"/>
              </w:rPr>
              <w:t>，每提供1个</w:t>
            </w:r>
            <w:r w:rsidR="0084150B">
              <w:rPr>
                <w:rFonts w:ascii="宋体" w:eastAsia="宋体" w:hAnsi="宋体" w:cs="仿宋_GB2312" w:hint="eastAsia"/>
                <w:sz w:val="24"/>
                <w:szCs w:val="24"/>
              </w:rPr>
              <w:t>案例</w:t>
            </w:r>
            <w:r w:rsidRPr="00197EEB">
              <w:rPr>
                <w:rFonts w:ascii="宋体" w:eastAsia="宋体" w:hAnsi="宋体" w:cs="仿宋_GB2312" w:hint="eastAsia"/>
                <w:sz w:val="24"/>
                <w:szCs w:val="24"/>
              </w:rPr>
              <w:t>计1分，最高计5分</w:t>
            </w:r>
            <w:r w:rsidR="0084150B">
              <w:rPr>
                <w:rFonts w:ascii="宋体" w:eastAsia="宋体" w:hAnsi="宋体" w:cs="仿宋_GB2312" w:hint="eastAsia"/>
                <w:sz w:val="24"/>
                <w:szCs w:val="24"/>
              </w:rPr>
              <w:t>。</w:t>
            </w:r>
          </w:p>
        </w:tc>
      </w:tr>
    </w:tbl>
    <w:p w:rsidR="00EC1FA8" w:rsidRPr="004A4C4F" w:rsidRDefault="00EC1FA8" w:rsidP="004A4FCA">
      <w:pPr>
        <w:pStyle w:val="a7"/>
        <w:shd w:val="clear" w:color="auto" w:fill="FFFFFF"/>
        <w:spacing w:before="0" w:beforeAutospacing="0" w:after="0" w:afterAutospacing="0" w:line="504" w:lineRule="atLeast"/>
        <w:ind w:firstLine="480"/>
        <w:jc w:val="both"/>
        <w:rPr>
          <w:color w:val="666666"/>
        </w:rPr>
      </w:pPr>
    </w:p>
    <w:sectPr w:rsidR="00EC1FA8" w:rsidRPr="004A4C4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E36" w:rsidRDefault="00676E36" w:rsidP="004A4FCA">
      <w:r>
        <w:separator/>
      </w:r>
    </w:p>
  </w:endnote>
  <w:endnote w:type="continuationSeparator" w:id="0">
    <w:p w:rsidR="00676E36" w:rsidRDefault="00676E36" w:rsidP="004A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272177"/>
      <w:docPartObj>
        <w:docPartGallery w:val="Page Numbers (Bottom of Page)"/>
        <w:docPartUnique/>
      </w:docPartObj>
    </w:sdtPr>
    <w:sdtEndPr/>
    <w:sdtContent>
      <w:p w:rsidR="004800D3" w:rsidRDefault="004800D3">
        <w:pPr>
          <w:pStyle w:val="a5"/>
          <w:jc w:val="center"/>
        </w:pPr>
        <w:r>
          <w:fldChar w:fldCharType="begin"/>
        </w:r>
        <w:r>
          <w:instrText>PAGE   \* MERGEFORMAT</w:instrText>
        </w:r>
        <w:r>
          <w:fldChar w:fldCharType="separate"/>
        </w:r>
        <w:r w:rsidR="00454992" w:rsidRPr="00454992">
          <w:rPr>
            <w:noProof/>
            <w:lang w:val="zh-CN"/>
          </w:rPr>
          <w:t>5</w:t>
        </w:r>
        <w:r>
          <w:fldChar w:fldCharType="end"/>
        </w:r>
      </w:p>
    </w:sdtContent>
  </w:sdt>
  <w:p w:rsidR="004800D3" w:rsidRDefault="004800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E36" w:rsidRDefault="00676E36" w:rsidP="004A4FCA">
      <w:r>
        <w:separator/>
      </w:r>
    </w:p>
  </w:footnote>
  <w:footnote w:type="continuationSeparator" w:id="0">
    <w:p w:rsidR="00676E36" w:rsidRDefault="00676E36" w:rsidP="004A4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55"/>
    <w:rsid w:val="00000683"/>
    <w:rsid w:val="00005A9A"/>
    <w:rsid w:val="00054171"/>
    <w:rsid w:val="00070723"/>
    <w:rsid w:val="001420E3"/>
    <w:rsid w:val="001424CE"/>
    <w:rsid w:val="00197EEB"/>
    <w:rsid w:val="001C4287"/>
    <w:rsid w:val="00225ED5"/>
    <w:rsid w:val="002535E1"/>
    <w:rsid w:val="0033024B"/>
    <w:rsid w:val="00393B92"/>
    <w:rsid w:val="004220D6"/>
    <w:rsid w:val="0042501B"/>
    <w:rsid w:val="0042632E"/>
    <w:rsid w:val="00444652"/>
    <w:rsid w:val="00454992"/>
    <w:rsid w:val="004800D3"/>
    <w:rsid w:val="004A4247"/>
    <w:rsid w:val="004A4FCA"/>
    <w:rsid w:val="00513055"/>
    <w:rsid w:val="00520415"/>
    <w:rsid w:val="005B5297"/>
    <w:rsid w:val="00653E3F"/>
    <w:rsid w:val="00676E36"/>
    <w:rsid w:val="006C2B38"/>
    <w:rsid w:val="006E6C07"/>
    <w:rsid w:val="00750673"/>
    <w:rsid w:val="00776D69"/>
    <w:rsid w:val="007A0594"/>
    <w:rsid w:val="007C67C2"/>
    <w:rsid w:val="007E54B4"/>
    <w:rsid w:val="007F29C1"/>
    <w:rsid w:val="0084150B"/>
    <w:rsid w:val="0089612A"/>
    <w:rsid w:val="00905A91"/>
    <w:rsid w:val="00A37079"/>
    <w:rsid w:val="00A96EBE"/>
    <w:rsid w:val="00AC5D99"/>
    <w:rsid w:val="00B548D6"/>
    <w:rsid w:val="00BB3131"/>
    <w:rsid w:val="00BC7A93"/>
    <w:rsid w:val="00C145F7"/>
    <w:rsid w:val="00C25DA4"/>
    <w:rsid w:val="00C70465"/>
    <w:rsid w:val="00C855F4"/>
    <w:rsid w:val="00CB4B2E"/>
    <w:rsid w:val="00D02869"/>
    <w:rsid w:val="00D15B6C"/>
    <w:rsid w:val="00D977A6"/>
    <w:rsid w:val="00DA1F62"/>
    <w:rsid w:val="00E1246E"/>
    <w:rsid w:val="00E2181A"/>
    <w:rsid w:val="00E36636"/>
    <w:rsid w:val="00E63F62"/>
    <w:rsid w:val="00EA25AA"/>
    <w:rsid w:val="00EC1FA8"/>
    <w:rsid w:val="00EF12C9"/>
    <w:rsid w:val="00F11B48"/>
    <w:rsid w:val="00F4657A"/>
    <w:rsid w:val="00F67BB5"/>
    <w:rsid w:val="00FC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71255"/>
  <w15:chartTrackingRefBased/>
  <w15:docId w15:val="{8CE2F150-DCD5-48E8-99D1-63BAF33F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F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4FCA"/>
    <w:rPr>
      <w:sz w:val="18"/>
      <w:szCs w:val="18"/>
    </w:rPr>
  </w:style>
  <w:style w:type="paragraph" w:styleId="a5">
    <w:name w:val="footer"/>
    <w:basedOn w:val="a"/>
    <w:link w:val="a6"/>
    <w:uiPriority w:val="99"/>
    <w:unhideWhenUsed/>
    <w:rsid w:val="004A4FCA"/>
    <w:pPr>
      <w:tabs>
        <w:tab w:val="center" w:pos="4153"/>
        <w:tab w:val="right" w:pos="8306"/>
      </w:tabs>
      <w:snapToGrid w:val="0"/>
      <w:jc w:val="left"/>
    </w:pPr>
    <w:rPr>
      <w:sz w:val="18"/>
      <w:szCs w:val="18"/>
    </w:rPr>
  </w:style>
  <w:style w:type="character" w:customStyle="1" w:styleId="a6">
    <w:name w:val="页脚 字符"/>
    <w:basedOn w:val="a0"/>
    <w:link w:val="a5"/>
    <w:uiPriority w:val="99"/>
    <w:rsid w:val="004A4FCA"/>
    <w:rPr>
      <w:sz w:val="18"/>
      <w:szCs w:val="18"/>
    </w:rPr>
  </w:style>
  <w:style w:type="paragraph" w:styleId="a7">
    <w:name w:val="Normal (Web)"/>
    <w:basedOn w:val="a"/>
    <w:uiPriority w:val="99"/>
    <w:semiHidden/>
    <w:unhideWhenUsed/>
    <w:rsid w:val="004A4F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512</Words>
  <Characters>2922</Characters>
  <Application>Microsoft Office Word</Application>
  <DocSecurity>0</DocSecurity>
  <Lines>24</Lines>
  <Paragraphs>6</Paragraphs>
  <ScaleCrop>false</ScaleCrop>
  <Company>DoubleOX</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159</cp:revision>
  <dcterms:created xsi:type="dcterms:W3CDTF">2023-09-27T23:00:00Z</dcterms:created>
  <dcterms:modified xsi:type="dcterms:W3CDTF">2023-10-18T16:15:00Z</dcterms:modified>
</cp:coreProperties>
</file>